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90" w:rsidRDefault="007A73C7" w:rsidP="008D1290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8D1290">
          <w:rPr>
            <w:rFonts w:ascii="宋体" w:hAnsi="宋体" w:cs="宋体" w:hint="eastAsia"/>
            <w:color w:val="800080"/>
            <w:u w:val="single"/>
          </w:rPr>
          <w:t>https://mp.weixin.qq.com/s/l4KrThabZCV6J7v4qjiKqA</w:t>
        </w:r>
      </w:hyperlink>
    </w:p>
    <w:p w:rsidR="008D1290" w:rsidRDefault="008D1290" w:rsidP="008D129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国际上没有哪条法律支持向首先报告疫情的国家追责，中国的防疫抗疫行为也没有违反任何国际法。在这次疫情中，中方国际通报的渠道快速、及时、公开、透明，采取的诸多防控举措也远超《国际卫生条例》要求。俄罗斯外交部长拉夫罗夫表示，索赔说法令人“毛骨悚然”，不可接受。</w:t>
      </w:r>
    </w:p>
    <w:p w:rsidR="00AD76EF" w:rsidRDefault="00AD76EF"/>
    <w:sectPr w:rsidR="00AD76EF" w:rsidSect="007A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2E" w:rsidRDefault="00C2352E" w:rsidP="00131D5C">
      <w:r>
        <w:separator/>
      </w:r>
    </w:p>
  </w:endnote>
  <w:endnote w:type="continuationSeparator" w:id="0">
    <w:p w:rsidR="00C2352E" w:rsidRDefault="00C2352E" w:rsidP="0013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2E" w:rsidRDefault="00C2352E" w:rsidP="00131D5C">
      <w:r>
        <w:separator/>
      </w:r>
    </w:p>
  </w:footnote>
  <w:footnote w:type="continuationSeparator" w:id="0">
    <w:p w:rsidR="00C2352E" w:rsidRDefault="00C2352E" w:rsidP="00131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5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290"/>
    <w:rsid w:val="00131D5C"/>
    <w:rsid w:val="006F0257"/>
    <w:rsid w:val="007A73C7"/>
    <w:rsid w:val="008D1290"/>
    <w:rsid w:val="00AD76EF"/>
    <w:rsid w:val="00C2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9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D129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31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1D5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1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1D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l4KrThabZCV6J7v4qjiK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2020-07-01T15:21:00Z</dcterms:created>
  <dcterms:modified xsi:type="dcterms:W3CDTF">2020-07-02T02:43:00Z</dcterms:modified>
</cp:coreProperties>
</file>