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颜晓峰：中国正在说第2季之世界迈向制度优势竞争</w:t>
      </w:r>
    </w:p>
    <w:p>
      <w:pPr>
        <w:spacing w:line="240" w:lineRule="auto" w:before="0" w:after="0"/>
        <w:ind w:firstLine="420"/>
      </w:pPr>
      <w:r>
        <w:t>2020年7月4日，爱奇艺，地址：https://www.iqiyi.com/v_19rzcdgqnc.html?key=b398b8ccbaeacca840073a7ee9b7e7e6&amp;amp;msrc=3_31_56&amp;amp;aid=17329082500&amp;amp;tvid=17329082500&amp;amp;cid=6&amp;amp;identifier=weixinv1&amp;amp;ftype=27&amp;amp;subtype=1&amp;amp;vip_pc=0&amp;amp;vip_tpc=0&amp;amp;isrd=1&amp;amp;p1=2_22_222&amp;amp;social_platform=link</w:t>
      </w:r>
    </w:p>
    <w:p>
      <w:pPr>
        <w:spacing w:line="240" w:lineRule="auto" w:before="0" w:after="0"/>
        <w:ind w:firstLine="420"/>
      </w:pPr>
      <w:r>
        <w:t>天津大学马克思主义学院院长颜晓峰教授结合实例，讲述了中国制度为何经得起风浪考验，为何经得起风险冲击，体现了什么是中国制度优势，和文化自信。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