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36"/>
          <w:szCs w:val="36"/>
        </w:rPr>
        <w:t>2023年度北京师范大学教育部高校思想政治工作创新</w:t>
      </w:r>
      <w:r>
        <w:rPr>
          <w:rFonts w:eastAsia="方正小标宋简体"/>
          <w:bCs/>
          <w:sz w:val="36"/>
          <w:szCs w:val="36"/>
        </w:rPr>
        <w:br w:type="textWrapping"/>
      </w:r>
      <w:r>
        <w:rPr>
          <w:rFonts w:eastAsia="方正小标宋简体"/>
          <w:bCs/>
          <w:sz w:val="36"/>
          <w:szCs w:val="36"/>
        </w:rPr>
        <w:t>发展中心（</w:t>
      </w:r>
      <w:r>
        <w:rPr>
          <w:rFonts w:hint="eastAsia" w:eastAsia="方正小标宋简体"/>
          <w:bCs/>
          <w:sz w:val="36"/>
          <w:szCs w:val="36"/>
        </w:rPr>
        <w:t>教师思政方向</w:t>
      </w:r>
      <w:r>
        <w:rPr>
          <w:rFonts w:eastAsia="方正小标宋简体"/>
          <w:bCs/>
          <w:sz w:val="36"/>
          <w:szCs w:val="36"/>
        </w:rPr>
        <w:t>）开放课题</w:t>
      </w:r>
      <w:r>
        <w:rPr>
          <w:rFonts w:hint="eastAsia" w:eastAsia="方正小标宋简体"/>
          <w:bCs/>
          <w:sz w:val="36"/>
          <w:szCs w:val="36"/>
        </w:rPr>
        <w:t>选题</w:t>
      </w:r>
      <w:r>
        <w:rPr>
          <w:rFonts w:eastAsia="方正小标宋简体"/>
          <w:bCs/>
          <w:sz w:val="36"/>
          <w:szCs w:val="36"/>
        </w:rPr>
        <w:t>指南</w:t>
      </w:r>
    </w:p>
    <w:p>
      <w:pPr>
        <w:spacing w:line="560" w:lineRule="exact"/>
        <w:ind w:firstLine="723" w:firstLineChars="200"/>
        <w:rPr>
          <w:rFonts w:eastAsia="方正小标宋简体"/>
          <w:b/>
          <w:bCs/>
          <w:sz w:val="36"/>
          <w:szCs w:val="36"/>
        </w:rPr>
      </w:pPr>
    </w:p>
    <w:p>
      <w:pPr>
        <w:pStyle w:val="16"/>
        <w:spacing w:line="560" w:lineRule="exact"/>
        <w:ind w:firstLine="640"/>
        <w:rPr>
          <w:rFonts w:eastAsia="黑体"/>
          <w:color w:val="auto"/>
          <w:sz w:val="32"/>
          <w:szCs w:val="28"/>
        </w:rPr>
      </w:pPr>
      <w:r>
        <w:rPr>
          <w:rFonts w:hint="eastAsia" w:eastAsia="黑体"/>
          <w:color w:val="auto"/>
          <w:sz w:val="32"/>
          <w:szCs w:val="28"/>
        </w:rPr>
        <w:t>一、重点课题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1.习近平总书记关于高校教师思想政治工作的重要论述研究；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2.将党的二十大精神融入高校教师思想政治工作研究；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3.高校教师思想政治工作高质量发展研究；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4.高校教师思想政治工作的“生命线”作用发挥机制研究；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5.新时代高校教师思想政治工作面临的挑战和机遇研究；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6.教育家精神的价值意蕴、内涵特征与实践路径研究；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7.高校教师思想政治工作评价指标体系研究；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8.高校教师思政工作与学生思政工作协同机制研究；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9.高校教师党建与思想政治工作深度融合研究；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10.高校课程思政与教师思政融合发展的路径研究；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11.数字赋能高校教师思想政治工作的实践路径和创新机制研究；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12.新时代高校教师</w:t>
      </w:r>
      <w:r>
        <w:rPr>
          <w:rFonts w:eastAsia="仿宋_GB2312"/>
          <w:color w:val="auto"/>
          <w:sz w:val="32"/>
          <w:szCs w:val="28"/>
        </w:rPr>
        <w:t>理论学习</w:t>
      </w:r>
      <w:r>
        <w:rPr>
          <w:rFonts w:hint="eastAsia" w:eastAsia="仿宋_GB2312"/>
          <w:color w:val="auto"/>
          <w:sz w:val="32"/>
          <w:szCs w:val="28"/>
        </w:rPr>
        <w:t>实效性的提升路径</w:t>
      </w:r>
      <w:r>
        <w:rPr>
          <w:rFonts w:eastAsia="仿宋_GB2312"/>
          <w:color w:val="auto"/>
          <w:sz w:val="32"/>
          <w:szCs w:val="28"/>
        </w:rPr>
        <w:t>研究</w:t>
      </w:r>
      <w:r>
        <w:rPr>
          <w:rFonts w:hint="eastAsia" w:eastAsia="仿宋_GB2312"/>
          <w:color w:val="auto"/>
          <w:sz w:val="32"/>
          <w:szCs w:val="28"/>
        </w:rPr>
        <w:t>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13.高校教师荣誉体系建设研究；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14.新时代高校落实师德“第一标准”的路径研究；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15.以潜心育人为导向的高校教师评价体系研究；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16.高校教师思想政治素养评价体系的构建与应用研究；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17.高校教师思想动态调研机制与引导策略研究；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18.高校青年教师的教育引导和服务体系构建研究；</w:t>
      </w:r>
    </w:p>
    <w:p>
      <w:pPr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28"/>
          <w:lang w:eastAsia="zh-CN"/>
        </w:rPr>
      </w:pPr>
      <w:r>
        <w:rPr>
          <w:rFonts w:eastAsia="仿宋_GB2312"/>
          <w:color w:val="auto"/>
          <w:sz w:val="32"/>
          <w:szCs w:val="28"/>
        </w:rPr>
        <w:t>19.</w:t>
      </w:r>
      <w:r>
        <w:rPr>
          <w:rFonts w:hint="eastAsia" w:eastAsia="仿宋_GB2312"/>
          <w:color w:val="auto"/>
          <w:sz w:val="32"/>
          <w:szCs w:val="28"/>
        </w:rPr>
        <w:t>高校党外知识分子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28"/>
        </w:rPr>
        <w:t>思想政治工作路径与方法研究</w:t>
      </w:r>
      <w:r>
        <w:rPr>
          <w:rFonts w:hint="eastAsia" w:eastAsia="仿宋_GB2312"/>
          <w:color w:val="auto"/>
          <w:sz w:val="32"/>
          <w:szCs w:val="28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20.高校思政课教师“六要”素养提升路径研究；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21.</w:t>
      </w:r>
      <w:r>
        <w:rPr>
          <w:rFonts w:eastAsia="仿宋_GB2312"/>
          <w:color w:val="auto"/>
          <w:sz w:val="32"/>
          <w:szCs w:val="28"/>
        </w:rPr>
        <w:t>研究生导师立德树人考核评价体系构建研究</w:t>
      </w:r>
      <w:r>
        <w:rPr>
          <w:rFonts w:hint="eastAsia" w:eastAsia="仿宋_GB2312"/>
          <w:color w:val="auto"/>
          <w:sz w:val="32"/>
          <w:szCs w:val="28"/>
        </w:rPr>
        <w:t>；</w:t>
      </w:r>
    </w:p>
    <w:p>
      <w:pPr>
        <w:pStyle w:val="15"/>
        <w:tabs>
          <w:tab w:val="left" w:pos="420"/>
        </w:tabs>
        <w:spacing w:line="560" w:lineRule="exact"/>
        <w:ind w:left="640"/>
        <w:rPr>
          <w:rFonts w:ascii="Times New Roman" w:hAnsi="Times New Roman" w:eastAsia="仿宋_GB2312"/>
          <w:color w:val="auto"/>
          <w:kern w:val="2"/>
          <w:sz w:val="32"/>
          <w:szCs w:val="28"/>
          <w:shd w:val="clear" w:color="auto" w:fill="auto"/>
        </w:rPr>
      </w:pPr>
      <w:r>
        <w:rPr>
          <w:rFonts w:hint="eastAsia" w:eastAsia="仿宋_GB2312"/>
          <w:color w:val="auto"/>
          <w:sz w:val="32"/>
          <w:szCs w:val="28"/>
        </w:rPr>
        <w:t>2</w:t>
      </w:r>
      <w:r>
        <w:rPr>
          <w:rFonts w:eastAsia="仿宋_GB2312"/>
          <w:color w:val="auto"/>
          <w:sz w:val="32"/>
          <w:szCs w:val="28"/>
        </w:rPr>
        <w:t>2.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28"/>
          <w:shd w:val="clear" w:color="auto" w:fill="auto"/>
        </w:rPr>
        <w:t>高校教师“双带头人”党支部书记队伍培育建设研究</w:t>
      </w:r>
      <w:r>
        <w:rPr>
          <w:rFonts w:hint="eastAsia" w:eastAsia="仿宋_GB2312"/>
          <w:color w:val="auto"/>
          <w:sz w:val="32"/>
          <w:szCs w:val="28"/>
        </w:rPr>
        <w:t>；</w:t>
      </w:r>
    </w:p>
    <w:p>
      <w:pPr>
        <w:pStyle w:val="15"/>
        <w:tabs>
          <w:tab w:val="left" w:pos="420"/>
        </w:tabs>
        <w:spacing w:line="560" w:lineRule="exact"/>
        <w:ind w:left="640"/>
        <w:rPr>
          <w:rFonts w:ascii="Times New Roman" w:hAnsi="Times New Roman" w:eastAsia="仿宋_GB2312"/>
          <w:color w:val="auto"/>
          <w:kern w:val="2"/>
          <w:sz w:val="32"/>
          <w:szCs w:val="28"/>
          <w:shd w:val="clear" w:color="auto" w:fill="auto"/>
        </w:rPr>
      </w:pPr>
      <w:r>
        <w:rPr>
          <w:rFonts w:hint="eastAsia" w:eastAsia="仿宋_GB2312"/>
          <w:color w:val="auto"/>
          <w:sz w:val="32"/>
          <w:szCs w:val="28"/>
        </w:rPr>
        <w:t>2</w:t>
      </w:r>
      <w:r>
        <w:rPr>
          <w:rFonts w:eastAsia="仿宋_GB2312"/>
          <w:color w:val="auto"/>
          <w:sz w:val="32"/>
          <w:szCs w:val="28"/>
        </w:rPr>
        <w:t>3.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28"/>
          <w:shd w:val="clear" w:color="auto" w:fill="auto"/>
        </w:rPr>
        <w:t>党建涵养“大先生”工作格局探究</w:t>
      </w:r>
      <w:r>
        <w:rPr>
          <w:rFonts w:hint="eastAsia" w:eastAsia="仿宋_GB2312"/>
          <w:color w:val="auto"/>
          <w:sz w:val="32"/>
          <w:szCs w:val="28"/>
        </w:rPr>
        <w:t>；</w:t>
      </w:r>
    </w:p>
    <w:p>
      <w:pPr>
        <w:pStyle w:val="15"/>
        <w:tabs>
          <w:tab w:val="left" w:pos="420"/>
        </w:tabs>
        <w:spacing w:line="560" w:lineRule="exact"/>
        <w:ind w:left="640"/>
        <w:rPr>
          <w:rFonts w:ascii="Times New Roman" w:hAnsi="Times New Roman" w:eastAsia="仿宋_GB2312"/>
          <w:color w:val="auto"/>
          <w:kern w:val="2"/>
          <w:sz w:val="32"/>
          <w:szCs w:val="28"/>
          <w:shd w:val="clear" w:color="auto" w:fill="auto"/>
        </w:rPr>
      </w:pPr>
      <w:r>
        <w:rPr>
          <w:rFonts w:hint="eastAsia" w:eastAsia="仿宋_GB2312"/>
          <w:color w:val="auto"/>
          <w:sz w:val="32"/>
          <w:szCs w:val="28"/>
        </w:rPr>
        <w:t>2</w:t>
      </w:r>
      <w:r>
        <w:rPr>
          <w:rFonts w:eastAsia="仿宋_GB2312"/>
          <w:color w:val="auto"/>
          <w:sz w:val="32"/>
          <w:szCs w:val="28"/>
        </w:rPr>
        <w:t>4.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28"/>
          <w:shd w:val="clear" w:color="auto" w:fill="auto"/>
        </w:rPr>
        <w:t>高校导学思政工作体系内容内涵与具体构建研究</w:t>
      </w:r>
      <w:r>
        <w:rPr>
          <w:rFonts w:hint="eastAsia" w:eastAsia="仿宋_GB2312"/>
          <w:color w:val="auto"/>
          <w:sz w:val="32"/>
          <w:szCs w:val="28"/>
        </w:rPr>
        <w:t>；</w:t>
      </w:r>
    </w:p>
    <w:p>
      <w:pPr>
        <w:pStyle w:val="15"/>
        <w:tabs>
          <w:tab w:val="left" w:pos="420"/>
        </w:tabs>
        <w:spacing w:line="560" w:lineRule="exact"/>
        <w:ind w:left="640"/>
        <w:rPr>
          <w:rFonts w:hint="eastAsia" w:eastAsia="仿宋_GB2312"/>
          <w:color w:val="auto"/>
          <w:sz w:val="32"/>
          <w:szCs w:val="28"/>
          <w:lang w:eastAsia="zh-CN"/>
        </w:rPr>
      </w:pPr>
      <w:r>
        <w:rPr>
          <w:rFonts w:hint="eastAsia" w:eastAsia="仿宋_GB2312"/>
          <w:color w:val="auto"/>
          <w:sz w:val="32"/>
          <w:szCs w:val="28"/>
        </w:rPr>
        <w:t>2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5</w:t>
      </w:r>
      <w:r>
        <w:rPr>
          <w:rFonts w:eastAsia="仿宋_GB2312"/>
          <w:color w:val="auto"/>
          <w:sz w:val="32"/>
          <w:szCs w:val="28"/>
        </w:rPr>
        <w:t>.</w:t>
      </w:r>
      <w:r>
        <w:rPr>
          <w:rFonts w:hint="eastAsia" w:eastAsia="仿宋_GB2312"/>
          <w:color w:val="auto"/>
          <w:sz w:val="32"/>
          <w:szCs w:val="28"/>
        </w:rPr>
        <w:t>新时代高校师德监督体系研究</w:t>
      </w:r>
      <w:r>
        <w:rPr>
          <w:rFonts w:hint="eastAsia" w:eastAsia="仿宋_GB2312"/>
          <w:color w:val="auto"/>
          <w:sz w:val="32"/>
          <w:szCs w:val="28"/>
          <w:lang w:eastAsia="zh-CN"/>
        </w:rPr>
        <w:t>；</w:t>
      </w:r>
    </w:p>
    <w:p>
      <w:pPr>
        <w:pStyle w:val="15"/>
        <w:tabs>
          <w:tab w:val="left" w:pos="420"/>
        </w:tabs>
        <w:spacing w:line="560" w:lineRule="exact"/>
        <w:ind w:left="640"/>
        <w:rPr>
          <w:rFonts w:hint="eastAsia" w:eastAsia="仿宋_GB2312"/>
          <w:color w:val="auto"/>
          <w:sz w:val="32"/>
          <w:szCs w:val="28"/>
          <w:lang w:eastAsia="zh-CN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26.</w:t>
      </w:r>
      <w:r>
        <w:rPr>
          <w:rFonts w:hint="eastAsia" w:eastAsia="仿宋_GB2312"/>
          <w:color w:val="auto"/>
          <w:sz w:val="32"/>
          <w:szCs w:val="28"/>
        </w:rPr>
        <w:t>学校二级院</w:t>
      </w:r>
      <w:r>
        <w:rPr>
          <w:rFonts w:hint="eastAsia" w:eastAsia="仿宋_GB2312"/>
          <w:color w:val="auto"/>
          <w:sz w:val="32"/>
          <w:szCs w:val="28"/>
          <w:lang w:eastAsia="zh-CN"/>
        </w:rPr>
        <w:t>（</w:t>
      </w:r>
      <w:r>
        <w:rPr>
          <w:rFonts w:hint="eastAsia" w:eastAsia="仿宋_GB2312"/>
          <w:color w:val="auto"/>
          <w:sz w:val="32"/>
          <w:szCs w:val="28"/>
        </w:rPr>
        <w:t>系</w:t>
      </w:r>
      <w:r>
        <w:rPr>
          <w:rFonts w:hint="eastAsia" w:eastAsia="仿宋_GB2312"/>
          <w:color w:val="auto"/>
          <w:sz w:val="32"/>
          <w:szCs w:val="28"/>
          <w:lang w:eastAsia="zh-CN"/>
        </w:rPr>
        <w:t>）</w:t>
      </w:r>
      <w:r>
        <w:rPr>
          <w:rFonts w:hint="eastAsia" w:eastAsia="仿宋_GB2312"/>
          <w:color w:val="auto"/>
          <w:sz w:val="32"/>
          <w:szCs w:val="28"/>
        </w:rPr>
        <w:t>师德师风建设工作责任落实情况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研究</w:t>
      </w:r>
      <w:r>
        <w:rPr>
          <w:rFonts w:hint="eastAsia" w:eastAsia="仿宋_GB2312"/>
          <w:color w:val="auto"/>
          <w:sz w:val="32"/>
          <w:szCs w:val="28"/>
          <w:lang w:eastAsia="zh-CN"/>
        </w:rPr>
        <w:t>；</w:t>
      </w:r>
    </w:p>
    <w:p>
      <w:pPr>
        <w:pStyle w:val="15"/>
        <w:tabs>
          <w:tab w:val="left" w:pos="420"/>
        </w:tabs>
        <w:spacing w:line="560" w:lineRule="exact"/>
        <w:ind w:left="640"/>
        <w:rPr>
          <w:rFonts w:hint="eastAsia" w:eastAsia="仿宋_GB2312"/>
          <w:color w:val="auto"/>
          <w:sz w:val="32"/>
          <w:szCs w:val="28"/>
          <w:lang w:val="en-US" w:eastAsia="zh-CN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27.高校</w:t>
      </w:r>
      <w:r>
        <w:rPr>
          <w:rFonts w:hint="eastAsia" w:eastAsia="仿宋_GB2312"/>
          <w:color w:val="auto"/>
          <w:sz w:val="32"/>
          <w:szCs w:val="28"/>
        </w:rPr>
        <w:t>教师职后培训体系现状与问题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研究；</w:t>
      </w:r>
    </w:p>
    <w:p>
      <w:pPr>
        <w:pStyle w:val="15"/>
        <w:tabs>
          <w:tab w:val="left" w:pos="420"/>
        </w:tabs>
        <w:spacing w:line="560" w:lineRule="exact"/>
        <w:ind w:left="640"/>
        <w:rPr>
          <w:rFonts w:hint="eastAsia" w:eastAsia="仿宋_GB2312"/>
          <w:color w:val="auto"/>
          <w:sz w:val="32"/>
          <w:szCs w:val="28"/>
          <w:lang w:val="en-US" w:eastAsia="zh-CN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28.</w:t>
      </w:r>
      <w:r>
        <w:rPr>
          <w:rFonts w:hint="eastAsia" w:eastAsia="仿宋_GB2312"/>
          <w:color w:val="auto"/>
          <w:sz w:val="32"/>
          <w:szCs w:val="28"/>
        </w:rPr>
        <w:t>人工智能等新技术与教师专业发展融合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问题与创新探索研究；</w:t>
      </w:r>
    </w:p>
    <w:p>
      <w:pPr>
        <w:pStyle w:val="15"/>
        <w:tabs>
          <w:tab w:val="left" w:pos="420"/>
        </w:tabs>
        <w:spacing w:line="560" w:lineRule="exact"/>
        <w:ind w:left="640"/>
        <w:rPr>
          <w:rFonts w:hint="default" w:eastAsia="仿宋_GB2312"/>
          <w:color w:val="auto"/>
          <w:sz w:val="32"/>
          <w:szCs w:val="28"/>
          <w:lang w:val="en-US" w:eastAsia="zh-CN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29.</w:t>
      </w:r>
      <w:r>
        <w:rPr>
          <w:rFonts w:hint="eastAsia" w:eastAsia="仿宋_GB2312"/>
          <w:color w:val="auto"/>
          <w:sz w:val="32"/>
          <w:szCs w:val="28"/>
        </w:rPr>
        <w:t>高校教师专业发展支持服务体系构建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研究</w:t>
      </w:r>
      <w:r>
        <w:rPr>
          <w:rFonts w:hint="eastAsia" w:eastAsia="仿宋_GB2312"/>
          <w:color w:val="auto"/>
          <w:sz w:val="32"/>
          <w:szCs w:val="28"/>
          <w:lang w:eastAsia="zh-CN"/>
        </w:rPr>
        <w:t>；</w:t>
      </w:r>
    </w:p>
    <w:p>
      <w:pPr>
        <w:pStyle w:val="15"/>
        <w:tabs>
          <w:tab w:val="left" w:pos="420"/>
        </w:tabs>
        <w:spacing w:line="560" w:lineRule="exact"/>
        <w:ind w:left="640"/>
        <w:rPr>
          <w:rFonts w:hint="eastAsia"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30.</w:t>
      </w:r>
      <w:r>
        <w:rPr>
          <w:rFonts w:hint="eastAsia" w:eastAsia="仿宋_GB2312"/>
          <w:color w:val="auto"/>
          <w:sz w:val="32"/>
          <w:szCs w:val="28"/>
        </w:rPr>
        <w:t>高校教师评价改革实施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现状</w:t>
      </w:r>
      <w:r>
        <w:rPr>
          <w:rFonts w:hint="eastAsia" w:eastAsia="仿宋_GB2312"/>
          <w:color w:val="auto"/>
          <w:sz w:val="32"/>
          <w:szCs w:val="28"/>
        </w:rPr>
        <w:t>与优化路径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研究。</w:t>
      </w:r>
    </w:p>
    <w:p>
      <w:pPr>
        <w:pStyle w:val="15"/>
        <w:tabs>
          <w:tab w:val="left" w:pos="420"/>
        </w:tabs>
        <w:spacing w:line="560" w:lineRule="exact"/>
        <w:ind w:left="640"/>
        <w:rPr>
          <w:rFonts w:ascii="黑体" w:hAnsi="黑体" w:eastAsia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</w:rPr>
        <w:t>二、一般课题</w:t>
      </w:r>
    </w:p>
    <w:p>
      <w:pPr>
        <w:pStyle w:val="15"/>
        <w:tabs>
          <w:tab w:val="left" w:pos="420"/>
        </w:tabs>
        <w:spacing w:line="560" w:lineRule="exact"/>
        <w:ind w:left="0" w:firstLine="640" w:firstLineChars="200"/>
        <w:rPr>
          <w:rFonts w:eastAsia="仿宋_GB2312"/>
          <w:color w:val="000000"/>
          <w:sz w:val="32"/>
          <w:szCs w:val="28"/>
        </w:rPr>
      </w:pPr>
      <w:r>
        <w:rPr>
          <w:rFonts w:hint="eastAsia" w:eastAsia="仿宋_GB2312"/>
          <w:color w:val="000000"/>
          <w:sz w:val="32"/>
          <w:szCs w:val="28"/>
        </w:rPr>
        <w:t>除上述重点方向外</w:t>
      </w:r>
      <w:r>
        <w:rPr>
          <w:rFonts w:eastAsia="仿宋_GB2312"/>
          <w:color w:val="000000"/>
          <w:sz w:val="32"/>
          <w:szCs w:val="28"/>
        </w:rPr>
        <w:t>，</w:t>
      </w:r>
      <w:r>
        <w:rPr>
          <w:rFonts w:hint="eastAsia" w:eastAsia="仿宋_GB2312"/>
          <w:color w:val="000000"/>
          <w:sz w:val="32"/>
          <w:szCs w:val="28"/>
        </w:rPr>
        <w:t>也可结合日常工作实际选题。题目应坚持问题导向，聚焦实践，以小见大，切忌空泛。</w:t>
      </w:r>
    </w:p>
    <w:p>
      <w:pPr>
        <w:pStyle w:val="15"/>
        <w:tabs>
          <w:tab w:val="left" w:pos="420"/>
        </w:tabs>
        <w:spacing w:line="560" w:lineRule="exact"/>
        <w:ind w:left="0" w:firstLine="640" w:firstLineChars="200"/>
        <w:rPr>
          <w:rFonts w:eastAsia="仿宋_GB2312"/>
          <w:color w:val="000000"/>
          <w:sz w:val="32"/>
          <w:szCs w:val="28"/>
        </w:rPr>
      </w:pPr>
      <w:r>
        <w:rPr>
          <w:rFonts w:hint="eastAsia" w:eastAsia="仿宋_GB2312"/>
          <w:color w:val="000000"/>
          <w:sz w:val="32"/>
          <w:szCs w:val="28"/>
        </w:rPr>
        <w:t>重点课题鼓励形成相关领域工作的方案、制度、办法、标准、政策建议、咨询报告等成果；一般课题鼓励形成加强和改进某项工作的咨询报告、政策建议或办法、标准。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jOTY0MTc2M2U5MjhiYzU1NmZhOWVkOWZhZTcwZjAifQ=="/>
  </w:docVars>
  <w:rsids>
    <w:rsidRoot w:val="00EE570E"/>
    <w:rsid w:val="00003CF5"/>
    <w:rsid w:val="00092A1C"/>
    <w:rsid w:val="000949AD"/>
    <w:rsid w:val="000A1ED2"/>
    <w:rsid w:val="000C3F4E"/>
    <w:rsid w:val="000D07E4"/>
    <w:rsid w:val="000D3976"/>
    <w:rsid w:val="000E770C"/>
    <w:rsid w:val="000F1443"/>
    <w:rsid w:val="000F6904"/>
    <w:rsid w:val="000F727C"/>
    <w:rsid w:val="00117FDC"/>
    <w:rsid w:val="00132E77"/>
    <w:rsid w:val="00165434"/>
    <w:rsid w:val="0016551F"/>
    <w:rsid w:val="00173C0D"/>
    <w:rsid w:val="001760D6"/>
    <w:rsid w:val="00186E25"/>
    <w:rsid w:val="001A0FA2"/>
    <w:rsid w:val="001A12E8"/>
    <w:rsid w:val="001B16CB"/>
    <w:rsid w:val="001C258E"/>
    <w:rsid w:val="001D1418"/>
    <w:rsid w:val="001D3422"/>
    <w:rsid w:val="001D3424"/>
    <w:rsid w:val="001E00D2"/>
    <w:rsid w:val="001F2557"/>
    <w:rsid w:val="001F4049"/>
    <w:rsid w:val="00210F3A"/>
    <w:rsid w:val="0021318D"/>
    <w:rsid w:val="00213E53"/>
    <w:rsid w:val="00214D96"/>
    <w:rsid w:val="00243497"/>
    <w:rsid w:val="00250193"/>
    <w:rsid w:val="002534D2"/>
    <w:rsid w:val="00263490"/>
    <w:rsid w:val="00265001"/>
    <w:rsid w:val="00280B35"/>
    <w:rsid w:val="0028155E"/>
    <w:rsid w:val="00286A4C"/>
    <w:rsid w:val="00287437"/>
    <w:rsid w:val="002A1EF3"/>
    <w:rsid w:val="002A7EBE"/>
    <w:rsid w:val="002C1093"/>
    <w:rsid w:val="002C6A53"/>
    <w:rsid w:val="002D7527"/>
    <w:rsid w:val="002D7C0A"/>
    <w:rsid w:val="003016AA"/>
    <w:rsid w:val="0030232C"/>
    <w:rsid w:val="003249F6"/>
    <w:rsid w:val="003253ED"/>
    <w:rsid w:val="003319EF"/>
    <w:rsid w:val="00334954"/>
    <w:rsid w:val="00357DFB"/>
    <w:rsid w:val="00363A90"/>
    <w:rsid w:val="00372C84"/>
    <w:rsid w:val="00384746"/>
    <w:rsid w:val="003915B0"/>
    <w:rsid w:val="003A203D"/>
    <w:rsid w:val="003B677A"/>
    <w:rsid w:val="003C33AC"/>
    <w:rsid w:val="003D02C7"/>
    <w:rsid w:val="003D7A24"/>
    <w:rsid w:val="003F68FE"/>
    <w:rsid w:val="0040205E"/>
    <w:rsid w:val="00430776"/>
    <w:rsid w:val="004435F6"/>
    <w:rsid w:val="00460013"/>
    <w:rsid w:val="00460EDE"/>
    <w:rsid w:val="00463DB1"/>
    <w:rsid w:val="004706DB"/>
    <w:rsid w:val="004B1601"/>
    <w:rsid w:val="004B5EE3"/>
    <w:rsid w:val="004B7659"/>
    <w:rsid w:val="004D6C6B"/>
    <w:rsid w:val="004E1B00"/>
    <w:rsid w:val="00527BEF"/>
    <w:rsid w:val="00535E52"/>
    <w:rsid w:val="00537CB4"/>
    <w:rsid w:val="00563C5E"/>
    <w:rsid w:val="0057439D"/>
    <w:rsid w:val="005C3163"/>
    <w:rsid w:val="005C5A31"/>
    <w:rsid w:val="005D6F61"/>
    <w:rsid w:val="005F79A6"/>
    <w:rsid w:val="00616370"/>
    <w:rsid w:val="00620121"/>
    <w:rsid w:val="00631460"/>
    <w:rsid w:val="00634566"/>
    <w:rsid w:val="00660119"/>
    <w:rsid w:val="006A33D8"/>
    <w:rsid w:val="006C2126"/>
    <w:rsid w:val="006D32BB"/>
    <w:rsid w:val="006D33F8"/>
    <w:rsid w:val="006E64FE"/>
    <w:rsid w:val="006F6F20"/>
    <w:rsid w:val="00700218"/>
    <w:rsid w:val="0070188E"/>
    <w:rsid w:val="007111DD"/>
    <w:rsid w:val="00715851"/>
    <w:rsid w:val="00717163"/>
    <w:rsid w:val="0072486A"/>
    <w:rsid w:val="00727167"/>
    <w:rsid w:val="00737606"/>
    <w:rsid w:val="0076392D"/>
    <w:rsid w:val="007711F6"/>
    <w:rsid w:val="00783407"/>
    <w:rsid w:val="0078590D"/>
    <w:rsid w:val="00786220"/>
    <w:rsid w:val="007A0ED5"/>
    <w:rsid w:val="007A2DCF"/>
    <w:rsid w:val="007B2AE0"/>
    <w:rsid w:val="007C0C6B"/>
    <w:rsid w:val="007C228F"/>
    <w:rsid w:val="008061CD"/>
    <w:rsid w:val="00812AEC"/>
    <w:rsid w:val="00831614"/>
    <w:rsid w:val="008422FC"/>
    <w:rsid w:val="00855577"/>
    <w:rsid w:val="00861C75"/>
    <w:rsid w:val="008671E2"/>
    <w:rsid w:val="0087222F"/>
    <w:rsid w:val="00880B81"/>
    <w:rsid w:val="008A7331"/>
    <w:rsid w:val="008B0E78"/>
    <w:rsid w:val="008B5A40"/>
    <w:rsid w:val="008C627A"/>
    <w:rsid w:val="008E1601"/>
    <w:rsid w:val="008F15F4"/>
    <w:rsid w:val="00905AAD"/>
    <w:rsid w:val="0091063E"/>
    <w:rsid w:val="00931475"/>
    <w:rsid w:val="00943F4E"/>
    <w:rsid w:val="00945BE2"/>
    <w:rsid w:val="009623EE"/>
    <w:rsid w:val="00962D45"/>
    <w:rsid w:val="00976458"/>
    <w:rsid w:val="00994B21"/>
    <w:rsid w:val="0099683A"/>
    <w:rsid w:val="009A18D8"/>
    <w:rsid w:val="009A4226"/>
    <w:rsid w:val="009B7058"/>
    <w:rsid w:val="009C3902"/>
    <w:rsid w:val="009E78E2"/>
    <w:rsid w:val="00A134FC"/>
    <w:rsid w:val="00A22CAE"/>
    <w:rsid w:val="00A23BAE"/>
    <w:rsid w:val="00A26BF1"/>
    <w:rsid w:val="00A65357"/>
    <w:rsid w:val="00A971FA"/>
    <w:rsid w:val="00AC6AEB"/>
    <w:rsid w:val="00AD0F84"/>
    <w:rsid w:val="00AD674F"/>
    <w:rsid w:val="00AD7038"/>
    <w:rsid w:val="00AD7B2B"/>
    <w:rsid w:val="00AE0335"/>
    <w:rsid w:val="00AF0AB9"/>
    <w:rsid w:val="00B00081"/>
    <w:rsid w:val="00B11261"/>
    <w:rsid w:val="00B40F4F"/>
    <w:rsid w:val="00B44509"/>
    <w:rsid w:val="00B45410"/>
    <w:rsid w:val="00B50043"/>
    <w:rsid w:val="00B912BD"/>
    <w:rsid w:val="00B93CB6"/>
    <w:rsid w:val="00BA02FB"/>
    <w:rsid w:val="00BC3514"/>
    <w:rsid w:val="00BD5A03"/>
    <w:rsid w:val="00C20F4E"/>
    <w:rsid w:val="00C25A53"/>
    <w:rsid w:val="00C35CBE"/>
    <w:rsid w:val="00C42784"/>
    <w:rsid w:val="00C530B3"/>
    <w:rsid w:val="00C53BB7"/>
    <w:rsid w:val="00C572FF"/>
    <w:rsid w:val="00C64015"/>
    <w:rsid w:val="00C772EB"/>
    <w:rsid w:val="00C94B12"/>
    <w:rsid w:val="00CA3151"/>
    <w:rsid w:val="00CA3654"/>
    <w:rsid w:val="00CB7CF5"/>
    <w:rsid w:val="00D004BE"/>
    <w:rsid w:val="00D11D28"/>
    <w:rsid w:val="00D26CE3"/>
    <w:rsid w:val="00D31466"/>
    <w:rsid w:val="00D33626"/>
    <w:rsid w:val="00D35C92"/>
    <w:rsid w:val="00D4157C"/>
    <w:rsid w:val="00D60FE5"/>
    <w:rsid w:val="00D64409"/>
    <w:rsid w:val="00D64B6A"/>
    <w:rsid w:val="00D974FA"/>
    <w:rsid w:val="00DB0838"/>
    <w:rsid w:val="00DC1626"/>
    <w:rsid w:val="00DF078A"/>
    <w:rsid w:val="00E07497"/>
    <w:rsid w:val="00E2306B"/>
    <w:rsid w:val="00E377F1"/>
    <w:rsid w:val="00E518B0"/>
    <w:rsid w:val="00E64169"/>
    <w:rsid w:val="00E645B5"/>
    <w:rsid w:val="00E81CA7"/>
    <w:rsid w:val="00E9270F"/>
    <w:rsid w:val="00EB0F5A"/>
    <w:rsid w:val="00EB5F0D"/>
    <w:rsid w:val="00EC2FD0"/>
    <w:rsid w:val="00EC3B60"/>
    <w:rsid w:val="00EC40A2"/>
    <w:rsid w:val="00EC4C9C"/>
    <w:rsid w:val="00EE570E"/>
    <w:rsid w:val="00EF47C8"/>
    <w:rsid w:val="00EF640A"/>
    <w:rsid w:val="00F00FD6"/>
    <w:rsid w:val="00F1563C"/>
    <w:rsid w:val="00F23D36"/>
    <w:rsid w:val="00F660ED"/>
    <w:rsid w:val="00F72B1F"/>
    <w:rsid w:val="00F74DCF"/>
    <w:rsid w:val="00F750EF"/>
    <w:rsid w:val="00F8736F"/>
    <w:rsid w:val="00FB426B"/>
    <w:rsid w:val="00FB67DF"/>
    <w:rsid w:val="00FD621A"/>
    <w:rsid w:val="010B4980"/>
    <w:rsid w:val="04E15802"/>
    <w:rsid w:val="06361B7E"/>
    <w:rsid w:val="0AD876A7"/>
    <w:rsid w:val="12DA1AE3"/>
    <w:rsid w:val="13766BE6"/>
    <w:rsid w:val="14742735"/>
    <w:rsid w:val="15437E13"/>
    <w:rsid w:val="15593193"/>
    <w:rsid w:val="1658012D"/>
    <w:rsid w:val="19094FC6"/>
    <w:rsid w:val="190D42EB"/>
    <w:rsid w:val="194B1B96"/>
    <w:rsid w:val="19FC1E04"/>
    <w:rsid w:val="1A0D279E"/>
    <w:rsid w:val="1C827473"/>
    <w:rsid w:val="1DDA1E4F"/>
    <w:rsid w:val="22C63C15"/>
    <w:rsid w:val="23B32608"/>
    <w:rsid w:val="242E2E46"/>
    <w:rsid w:val="25CB3697"/>
    <w:rsid w:val="269C55D5"/>
    <w:rsid w:val="28D251E4"/>
    <w:rsid w:val="2F457B09"/>
    <w:rsid w:val="2F8D1F5F"/>
    <w:rsid w:val="30627082"/>
    <w:rsid w:val="30BF439A"/>
    <w:rsid w:val="31175F84"/>
    <w:rsid w:val="33E52369"/>
    <w:rsid w:val="349A13A6"/>
    <w:rsid w:val="34C211CF"/>
    <w:rsid w:val="38743CBC"/>
    <w:rsid w:val="3E524A9F"/>
    <w:rsid w:val="3E8F7AA2"/>
    <w:rsid w:val="3F2B709E"/>
    <w:rsid w:val="3FBA6DA0"/>
    <w:rsid w:val="40A1586A"/>
    <w:rsid w:val="44582222"/>
    <w:rsid w:val="46B81E18"/>
    <w:rsid w:val="47572911"/>
    <w:rsid w:val="494C5B73"/>
    <w:rsid w:val="4C820974"/>
    <w:rsid w:val="4F6C798B"/>
    <w:rsid w:val="539719B0"/>
    <w:rsid w:val="57F40563"/>
    <w:rsid w:val="581B201B"/>
    <w:rsid w:val="5B031AC4"/>
    <w:rsid w:val="5B4C359F"/>
    <w:rsid w:val="5B8C1CEE"/>
    <w:rsid w:val="5F253607"/>
    <w:rsid w:val="5FB567E4"/>
    <w:rsid w:val="62474799"/>
    <w:rsid w:val="641E2B28"/>
    <w:rsid w:val="66952ECC"/>
    <w:rsid w:val="6861575B"/>
    <w:rsid w:val="689B6EBF"/>
    <w:rsid w:val="6A414BF4"/>
    <w:rsid w:val="6B1B7E43"/>
    <w:rsid w:val="6F0D03EB"/>
    <w:rsid w:val="6F307C36"/>
    <w:rsid w:val="700A405F"/>
    <w:rsid w:val="707F2C23"/>
    <w:rsid w:val="72C139C6"/>
    <w:rsid w:val="72C214EC"/>
    <w:rsid w:val="747131CA"/>
    <w:rsid w:val="760065B4"/>
    <w:rsid w:val="7D3652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80FF"/>
      <w:u w:val="none"/>
    </w:rPr>
  </w:style>
  <w:style w:type="character" w:styleId="12">
    <w:name w:val="HTML Code"/>
    <w:basedOn w:val="8"/>
    <w:semiHidden/>
    <w:unhideWhenUsed/>
    <w:qFormat/>
    <w:uiPriority w:val="99"/>
    <w:rPr>
      <w:rFonts w:ascii="Consolas" w:hAnsi="Consolas" w:eastAsia="Consolas" w:cs="Consolas"/>
      <w:sz w:val="20"/>
    </w:rPr>
  </w:style>
  <w:style w:type="character" w:customStyle="1" w:styleId="13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left="720"/>
      <w:contextualSpacing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8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9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0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903</Words>
  <Characters>951</Characters>
  <Lines>7</Lines>
  <Paragraphs>1</Paragraphs>
  <TotalTime>0</TotalTime>
  <ScaleCrop>false</ScaleCrop>
  <LinksUpToDate>false</LinksUpToDate>
  <CharactersWithSpaces>951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2023-10-13T07:44:00Z</dcterms:created>
  <dc:creator>lenovo</dc:creator>
  <cp:lastModifiedBy>萌</cp:lastModifiedBy>
  <cp:lastPrinted>2023-10-09T01:59:00Z</cp:lastPrinted>
  <dcterms:modified xsi:type="dcterms:W3CDTF">2023-10-18T07:19:13Z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6CDB8BE068614C619E39C056A6153CD0_13</vt:lpwstr>
  </property>
</Properties>
</file>