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2977" w14:textId="77777777" w:rsidR="00047841" w:rsidRPr="00886FD1" w:rsidRDefault="00047841" w:rsidP="00047841">
      <w:pPr>
        <w:spacing w:line="560" w:lineRule="exact"/>
        <w:textAlignment w:val="baseline"/>
        <w:rPr>
          <w:rFonts w:ascii="仿宋" w:eastAsia="仿宋" w:hAnsi="仿宋" w:hint="eastAsia"/>
          <w:sz w:val="30"/>
          <w:szCs w:val="30"/>
        </w:rPr>
      </w:pPr>
      <w:r w:rsidRPr="00886FD1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2</w:t>
      </w:r>
    </w:p>
    <w:p w14:paraId="55FD6709" w14:textId="77777777" w:rsidR="00047841" w:rsidRDefault="00047841" w:rsidP="00047841">
      <w:pPr>
        <w:spacing w:line="60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 w:rsidRPr="0036557A">
        <w:rPr>
          <w:rFonts w:ascii="方正小标宋简体" w:eastAsia="方正小标宋简体" w:hAnsi="Times New Roman" w:hint="eastAsia"/>
          <w:iCs/>
          <w:sz w:val="36"/>
          <w:szCs w:val="36"/>
        </w:rPr>
        <w:t>2024年第2期高校“一站式”学生社区建设</w:t>
      </w:r>
    </w:p>
    <w:p w14:paraId="7566B5EF" w14:textId="77777777" w:rsidR="00047841" w:rsidRDefault="00047841" w:rsidP="00047841">
      <w:pPr>
        <w:spacing w:line="60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 w:rsidRPr="0036557A">
        <w:rPr>
          <w:rFonts w:ascii="方正小标宋简体" w:eastAsia="方正小标宋简体" w:hAnsi="Times New Roman" w:hint="eastAsia"/>
          <w:iCs/>
          <w:sz w:val="36"/>
          <w:szCs w:val="36"/>
        </w:rPr>
        <w:t>提质增效专题研修班</w:t>
      </w:r>
    </w:p>
    <w:p w14:paraId="005E80B9" w14:textId="77777777" w:rsidR="00047841" w:rsidRPr="00277401" w:rsidRDefault="00047841" w:rsidP="00047841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iCs/>
          <w:sz w:val="36"/>
          <w:szCs w:val="36"/>
        </w:rPr>
        <w:t>线上</w:t>
      </w:r>
      <w:r w:rsidRPr="00B44B50">
        <w:rPr>
          <w:rFonts w:ascii="方正小标宋简体" w:eastAsia="方正小标宋简体" w:hAnsi="Times New Roman" w:hint="eastAsia"/>
          <w:iCs/>
          <w:sz w:val="36"/>
          <w:szCs w:val="36"/>
        </w:rPr>
        <w:t>课程目录</w:t>
      </w:r>
    </w:p>
    <w:tbl>
      <w:tblPr>
        <w:tblStyle w:val="a3"/>
        <w:tblW w:w="5465" w:type="pct"/>
        <w:jc w:val="center"/>
        <w:tblLook w:val="04A0" w:firstRow="1" w:lastRow="0" w:firstColumn="1" w:lastColumn="0" w:noHBand="0" w:noVBand="1"/>
      </w:tblPr>
      <w:tblGrid>
        <w:gridCol w:w="989"/>
        <w:gridCol w:w="6097"/>
        <w:gridCol w:w="1982"/>
      </w:tblGrid>
      <w:tr w:rsidR="00047841" w:rsidRPr="008440A2" w14:paraId="6DAFE857" w14:textId="77777777" w:rsidTr="00917F5A">
        <w:trPr>
          <w:trHeight w:hRule="exact" w:val="737"/>
          <w:jc w:val="center"/>
        </w:trPr>
        <w:tc>
          <w:tcPr>
            <w:tcW w:w="545" w:type="pct"/>
            <w:vAlign w:val="center"/>
          </w:tcPr>
          <w:p w14:paraId="447CE617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362" w:type="pct"/>
            <w:vAlign w:val="center"/>
          </w:tcPr>
          <w:p w14:paraId="0693D2A2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8440A2">
              <w:rPr>
                <w:rFonts w:ascii="黑体" w:eastAsia="黑体" w:hAnsi="黑体" w:cs="黑体" w:hint="eastAsia"/>
                <w:sz w:val="28"/>
                <w:szCs w:val="28"/>
              </w:rPr>
              <w:t>课程</w:t>
            </w:r>
          </w:p>
        </w:tc>
        <w:tc>
          <w:tcPr>
            <w:tcW w:w="1093" w:type="pct"/>
            <w:vAlign w:val="center"/>
          </w:tcPr>
          <w:p w14:paraId="70043D48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8440A2"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</w:tr>
      <w:tr w:rsidR="00047841" w:rsidRPr="00277401" w14:paraId="514EBF74" w14:textId="77777777" w:rsidTr="00917F5A">
        <w:trPr>
          <w:trHeight w:hRule="exact" w:val="1077"/>
          <w:jc w:val="center"/>
        </w:trPr>
        <w:tc>
          <w:tcPr>
            <w:tcW w:w="545" w:type="pct"/>
            <w:vAlign w:val="center"/>
          </w:tcPr>
          <w:p w14:paraId="1071551C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362" w:type="pct"/>
            <w:vAlign w:val="center"/>
          </w:tcPr>
          <w:p w14:paraId="66DABE41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党建引领 深度融合——基于浙江大学“一站式”学生社区“党建+”育人体系构建的思考</w:t>
            </w:r>
          </w:p>
        </w:tc>
        <w:tc>
          <w:tcPr>
            <w:tcW w:w="1093" w:type="pct"/>
            <w:vAlign w:val="center"/>
          </w:tcPr>
          <w:p w14:paraId="70C1AE75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浙江大学</w:t>
            </w:r>
          </w:p>
        </w:tc>
      </w:tr>
      <w:tr w:rsidR="00047841" w:rsidRPr="00FE6EF1" w14:paraId="1F0D8D70" w14:textId="77777777" w:rsidTr="00917F5A">
        <w:trPr>
          <w:trHeight w:hRule="exact" w:val="737"/>
          <w:jc w:val="center"/>
        </w:trPr>
        <w:tc>
          <w:tcPr>
            <w:tcW w:w="545" w:type="pct"/>
            <w:vAlign w:val="center"/>
          </w:tcPr>
          <w:p w14:paraId="5513B635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362" w:type="pct"/>
            <w:vAlign w:val="center"/>
          </w:tcPr>
          <w:p w14:paraId="7041ECC3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465952">
              <w:rPr>
                <w:rFonts w:ascii="仿宋" w:eastAsia="仿宋" w:hAnsi="仿宋" w:hint="eastAsia"/>
                <w:sz w:val="28"/>
                <w:szCs w:val="28"/>
              </w:rPr>
              <w:t>建设时代新人培育新场域的探索和思考</w:t>
            </w:r>
          </w:p>
        </w:tc>
        <w:tc>
          <w:tcPr>
            <w:tcW w:w="1093" w:type="pct"/>
            <w:vAlign w:val="center"/>
          </w:tcPr>
          <w:p w14:paraId="2C24E90E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苏州大学</w:t>
            </w:r>
          </w:p>
        </w:tc>
      </w:tr>
      <w:tr w:rsidR="00047841" w14:paraId="7EB7EA86" w14:textId="77777777" w:rsidTr="00917F5A">
        <w:trPr>
          <w:trHeight w:hRule="exact" w:val="1077"/>
          <w:jc w:val="center"/>
        </w:trPr>
        <w:tc>
          <w:tcPr>
            <w:tcW w:w="545" w:type="pct"/>
            <w:vAlign w:val="center"/>
          </w:tcPr>
          <w:p w14:paraId="65F7C2E0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362" w:type="pct"/>
            <w:vAlign w:val="center"/>
          </w:tcPr>
          <w:p w14:paraId="6CFBE643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深化教育供给</w:t>
            </w:r>
            <w:proofErr w:type="gramStart"/>
            <w:r w:rsidRPr="008440A2">
              <w:rPr>
                <w:rFonts w:ascii="仿宋" w:eastAsia="仿宋" w:hAnsi="仿宋" w:hint="eastAsia"/>
                <w:sz w:val="28"/>
                <w:szCs w:val="28"/>
              </w:rPr>
              <w:t>侧改革</w:t>
            </w:r>
            <w:proofErr w:type="gramEnd"/>
            <w:r w:rsidRPr="008440A2">
              <w:rPr>
                <w:rFonts w:ascii="仿宋" w:eastAsia="仿宋" w:hAnsi="仿宋" w:hint="eastAsia"/>
                <w:sz w:val="28"/>
                <w:szCs w:val="28"/>
              </w:rPr>
              <w:t xml:space="preserve"> 以“一站式”学生社区建设构建协同育人新格局</w:t>
            </w:r>
          </w:p>
        </w:tc>
        <w:tc>
          <w:tcPr>
            <w:tcW w:w="1093" w:type="pct"/>
            <w:vAlign w:val="center"/>
          </w:tcPr>
          <w:p w14:paraId="16BD7ED8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天津大学</w:t>
            </w:r>
          </w:p>
        </w:tc>
      </w:tr>
      <w:tr w:rsidR="00047841" w14:paraId="7BEE506E" w14:textId="77777777" w:rsidTr="00917F5A">
        <w:trPr>
          <w:trHeight w:hRule="exact" w:val="680"/>
          <w:jc w:val="center"/>
        </w:trPr>
        <w:tc>
          <w:tcPr>
            <w:tcW w:w="545" w:type="pct"/>
            <w:vAlign w:val="center"/>
          </w:tcPr>
          <w:p w14:paraId="70AD1083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362" w:type="pct"/>
            <w:vAlign w:val="center"/>
          </w:tcPr>
          <w:p w14:paraId="3A5F58EB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辅导员在社区如何做好班团建设和学生组织管理</w:t>
            </w:r>
          </w:p>
        </w:tc>
        <w:tc>
          <w:tcPr>
            <w:tcW w:w="1093" w:type="pct"/>
            <w:vAlign w:val="center"/>
          </w:tcPr>
          <w:p w14:paraId="76E2F56D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华南理工大学</w:t>
            </w:r>
          </w:p>
        </w:tc>
      </w:tr>
      <w:tr w:rsidR="00047841" w14:paraId="6C6D3A74" w14:textId="77777777" w:rsidTr="00917F5A">
        <w:trPr>
          <w:trHeight w:hRule="exact" w:val="680"/>
          <w:jc w:val="center"/>
        </w:trPr>
        <w:tc>
          <w:tcPr>
            <w:tcW w:w="545" w:type="pct"/>
            <w:vAlign w:val="center"/>
          </w:tcPr>
          <w:p w14:paraId="0090734B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362" w:type="pct"/>
            <w:vAlign w:val="center"/>
          </w:tcPr>
          <w:p w14:paraId="40A3A3F1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辅导员如何在社区做好心理健康教育工作</w:t>
            </w:r>
          </w:p>
        </w:tc>
        <w:tc>
          <w:tcPr>
            <w:tcW w:w="1093" w:type="pct"/>
            <w:vAlign w:val="center"/>
          </w:tcPr>
          <w:p w14:paraId="60D52805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浙江大学</w:t>
            </w:r>
          </w:p>
        </w:tc>
      </w:tr>
      <w:tr w:rsidR="00047841" w14:paraId="573441E2" w14:textId="77777777" w:rsidTr="00917F5A">
        <w:trPr>
          <w:trHeight w:hRule="exact" w:val="680"/>
          <w:jc w:val="center"/>
        </w:trPr>
        <w:tc>
          <w:tcPr>
            <w:tcW w:w="545" w:type="pct"/>
            <w:vAlign w:val="center"/>
          </w:tcPr>
          <w:p w14:paraId="356870E6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362" w:type="pct"/>
            <w:vAlign w:val="center"/>
          </w:tcPr>
          <w:p w14:paraId="02BFEBAB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辅导员在社区如何做好生涯规划指导</w:t>
            </w:r>
          </w:p>
        </w:tc>
        <w:tc>
          <w:tcPr>
            <w:tcW w:w="1093" w:type="pct"/>
            <w:vAlign w:val="center"/>
          </w:tcPr>
          <w:p w14:paraId="17C0B6DF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南京师范大学</w:t>
            </w:r>
          </w:p>
        </w:tc>
      </w:tr>
      <w:tr w:rsidR="00047841" w14:paraId="2E30BCA4" w14:textId="77777777" w:rsidTr="00917F5A">
        <w:trPr>
          <w:trHeight w:hRule="exact" w:val="1077"/>
          <w:jc w:val="center"/>
        </w:trPr>
        <w:tc>
          <w:tcPr>
            <w:tcW w:w="545" w:type="pct"/>
            <w:vAlign w:val="center"/>
          </w:tcPr>
          <w:p w14:paraId="0AD066C7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362" w:type="pct"/>
            <w:vAlign w:val="center"/>
          </w:tcPr>
          <w:p w14:paraId="78039471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激发学生社区活动，构建“全景式”育人生态</w:t>
            </w:r>
          </w:p>
        </w:tc>
        <w:tc>
          <w:tcPr>
            <w:tcW w:w="1093" w:type="pct"/>
            <w:vAlign w:val="center"/>
          </w:tcPr>
          <w:p w14:paraId="3C629D13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同济大学</w:t>
            </w:r>
          </w:p>
        </w:tc>
      </w:tr>
      <w:tr w:rsidR="00047841" w14:paraId="67F11F3E" w14:textId="77777777" w:rsidTr="00917F5A">
        <w:trPr>
          <w:trHeight w:hRule="exact" w:val="1077"/>
          <w:jc w:val="center"/>
        </w:trPr>
        <w:tc>
          <w:tcPr>
            <w:tcW w:w="545" w:type="pct"/>
            <w:vAlign w:val="center"/>
          </w:tcPr>
          <w:p w14:paraId="1EC1B825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362" w:type="pct"/>
            <w:vAlign w:val="center"/>
          </w:tcPr>
          <w:p w14:paraId="08C231BF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走近学生 走进学生——“一站式”学生社区管理模式下辅导员的工作实践和创新</w:t>
            </w:r>
          </w:p>
        </w:tc>
        <w:tc>
          <w:tcPr>
            <w:tcW w:w="1093" w:type="pct"/>
            <w:vAlign w:val="center"/>
          </w:tcPr>
          <w:p w14:paraId="1CFB18BF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东北大学</w:t>
            </w:r>
          </w:p>
        </w:tc>
      </w:tr>
      <w:tr w:rsidR="00047841" w14:paraId="0481EC7F" w14:textId="77777777" w:rsidTr="00917F5A">
        <w:trPr>
          <w:trHeight w:hRule="exact" w:val="1077"/>
          <w:jc w:val="center"/>
        </w:trPr>
        <w:tc>
          <w:tcPr>
            <w:tcW w:w="545" w:type="pct"/>
            <w:vAlign w:val="center"/>
          </w:tcPr>
          <w:p w14:paraId="28486EC8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362" w:type="pct"/>
            <w:vAlign w:val="center"/>
          </w:tcPr>
          <w:p w14:paraId="7DCEBFA6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辅导员在社区如何利用数字赋能做好学生精细化管理和网络育人</w:t>
            </w:r>
          </w:p>
        </w:tc>
        <w:tc>
          <w:tcPr>
            <w:tcW w:w="1093" w:type="pct"/>
            <w:vAlign w:val="center"/>
          </w:tcPr>
          <w:p w14:paraId="7F9B5111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复旦大学</w:t>
            </w:r>
          </w:p>
        </w:tc>
      </w:tr>
      <w:tr w:rsidR="00047841" w14:paraId="1DA28AA1" w14:textId="77777777" w:rsidTr="00917F5A">
        <w:trPr>
          <w:trHeight w:hRule="exact" w:val="1077"/>
          <w:jc w:val="center"/>
        </w:trPr>
        <w:tc>
          <w:tcPr>
            <w:tcW w:w="545" w:type="pct"/>
            <w:vAlign w:val="center"/>
          </w:tcPr>
          <w:p w14:paraId="075A663C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362" w:type="pct"/>
            <w:vAlign w:val="center"/>
          </w:tcPr>
          <w:p w14:paraId="3210B1B6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南航高质量建设“一站式”学生社区的思考与实践</w:t>
            </w:r>
          </w:p>
        </w:tc>
        <w:tc>
          <w:tcPr>
            <w:tcW w:w="1093" w:type="pct"/>
            <w:vAlign w:val="center"/>
          </w:tcPr>
          <w:p w14:paraId="457E6982" w14:textId="77777777" w:rsidR="00047841" w:rsidRPr="008440A2" w:rsidRDefault="00047841" w:rsidP="00917F5A">
            <w:pPr>
              <w:spacing w:line="500" w:lineRule="exact"/>
              <w:jc w:val="center"/>
              <w:textAlignment w:val="baseline"/>
              <w:rPr>
                <w:rFonts w:ascii="仿宋" w:eastAsia="仿宋" w:hAnsi="仿宋" w:hint="eastAsia"/>
                <w:sz w:val="28"/>
                <w:szCs w:val="28"/>
              </w:rPr>
            </w:pPr>
            <w:r w:rsidRPr="008440A2">
              <w:rPr>
                <w:rFonts w:ascii="仿宋" w:eastAsia="仿宋" w:hAnsi="仿宋" w:hint="eastAsia"/>
                <w:sz w:val="28"/>
                <w:szCs w:val="28"/>
              </w:rPr>
              <w:t>南京航空航天大学</w:t>
            </w:r>
          </w:p>
        </w:tc>
      </w:tr>
    </w:tbl>
    <w:p w14:paraId="7FACF343" w14:textId="77777777" w:rsidR="00047841" w:rsidRDefault="00047841" w:rsidP="00047841">
      <w:pPr>
        <w:spacing w:line="560" w:lineRule="exact"/>
        <w:textAlignment w:val="baseline"/>
        <w:rPr>
          <w:rFonts w:ascii="仿宋" w:eastAsia="仿宋" w:hAnsi="仿宋" w:hint="eastAsia"/>
          <w:sz w:val="30"/>
          <w:szCs w:val="30"/>
        </w:rPr>
        <w:sectPr w:rsidR="00047841" w:rsidSect="000478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179B1AE" w14:textId="77777777" w:rsidR="005104C6" w:rsidRDefault="005104C6">
      <w:pPr>
        <w:rPr>
          <w:rFonts w:hint="eastAsia"/>
        </w:rPr>
      </w:pPr>
    </w:p>
    <w:sectPr w:rsidR="0051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41"/>
    <w:rsid w:val="00047841"/>
    <w:rsid w:val="005104C6"/>
    <w:rsid w:val="00E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9A7A9"/>
  <w15:chartTrackingRefBased/>
  <w15:docId w15:val="{AD54537D-3FD7-4883-AF53-62AED04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0478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 苏</dc:creator>
  <cp:keywords/>
  <dc:description/>
  <cp:lastModifiedBy>兰 苏</cp:lastModifiedBy>
  <cp:revision>1</cp:revision>
  <dcterms:created xsi:type="dcterms:W3CDTF">2024-11-18T01:25:00Z</dcterms:created>
  <dcterms:modified xsi:type="dcterms:W3CDTF">2024-11-18T01:26:00Z</dcterms:modified>
</cp:coreProperties>
</file>